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18915"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b/>
          <w:bCs/>
          <w:color w:val="4D4D4D"/>
          <w:sz w:val="24"/>
          <w:szCs w:val="24"/>
          <w:bdr w:val="none" w:sz="0" w:space="0" w:color="auto" w:frame="1"/>
          <w:lang w:eastAsia="it-IT"/>
        </w:rPr>
        <w:t>Elenco delle imprese a forte consumo di energia elettrica di cui all’art. 3 del decreto-legge n. 131 del 29 settembre 2023 – Apertura del portale per le dichiarazioni relative all’annualità di competenza 2024</w:t>
      </w:r>
    </w:p>
    <w:p w14:paraId="4504A081"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b/>
          <w:bCs/>
          <w:color w:val="4D4D4D"/>
          <w:sz w:val="24"/>
          <w:szCs w:val="24"/>
          <w:bdr w:val="none" w:sz="0" w:space="0" w:color="auto" w:frame="1"/>
          <w:lang w:eastAsia="it-IT"/>
        </w:rPr>
        <w:t>INDICAZIONI DI CARATTERE GENERALE</w:t>
      </w:r>
    </w:p>
    <w:p w14:paraId="5D8E3F57"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Sentita l’Autorità di regolazione per energia reti e ambiente (di seguito: ARERA) e ai sensi dell’</w:t>
      </w:r>
      <w:hyperlink r:id="rId5" w:tgtFrame="_blank" w:history="1">
        <w:r w:rsidRPr="00EB3815">
          <w:rPr>
            <w:rFonts w:ascii="Roboto" w:eastAsia="Times New Roman" w:hAnsi="Roboto" w:cs="Times New Roman"/>
            <w:color w:val="2496A4"/>
            <w:sz w:val="24"/>
            <w:szCs w:val="24"/>
            <w:u w:val="single"/>
            <w:bdr w:val="none" w:sz="0" w:space="0" w:color="auto" w:frame="1"/>
            <w:lang w:eastAsia="it-IT"/>
          </w:rPr>
          <w:t>art. 3 del decreto-legge n. 131 del 29 settembre 2023</w:t>
        </w:r>
      </w:hyperlink>
      <w:r w:rsidRPr="00EB3815">
        <w:rPr>
          <w:rFonts w:ascii="Roboto" w:eastAsia="Times New Roman" w:hAnsi="Roboto" w:cs="Times New Roman"/>
          <w:color w:val="4D4D4D"/>
          <w:sz w:val="24"/>
          <w:szCs w:val="24"/>
          <w:lang w:eastAsia="it-IT"/>
        </w:rPr>
        <w:t>, la Cassa per i servizi energetici e ambientali (di seguito: CSEA o Cassa) rende disponibile, con decorrenza 01/12/2023</w:t>
      </w:r>
      <w:r w:rsidRPr="00EB3815">
        <w:rPr>
          <w:rFonts w:ascii="Roboto" w:eastAsia="Times New Roman" w:hAnsi="Roboto" w:cs="Times New Roman"/>
          <w:b/>
          <w:bCs/>
          <w:color w:val="4D4D4D"/>
          <w:sz w:val="24"/>
          <w:szCs w:val="24"/>
          <w:bdr w:val="none" w:sz="0" w:space="0" w:color="auto" w:frame="1"/>
          <w:lang w:eastAsia="it-IT"/>
        </w:rPr>
        <w:t>, </w:t>
      </w:r>
      <w:r w:rsidRPr="00EB3815">
        <w:rPr>
          <w:rFonts w:ascii="Roboto" w:eastAsia="Times New Roman" w:hAnsi="Roboto" w:cs="Times New Roman"/>
          <w:color w:val="4D4D4D"/>
          <w:sz w:val="24"/>
          <w:szCs w:val="24"/>
          <w:lang w:eastAsia="it-IT"/>
        </w:rPr>
        <w:t>il sistema telematico (di seguito: Portale) per la raccolta delle dichiarazioni e la costituzione dell’Elenco delle imprese a forte consumo di energia elettrica per l’annualità di competenza 2024.</w:t>
      </w:r>
    </w:p>
    <w:p w14:paraId="3520DB93"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Il Portale è accessibile tramite l’applicazione web disponibile sul sito di Cassa (</w:t>
      </w:r>
      <w:hyperlink r:id="rId6" w:tgtFrame="_blank" w:history="1">
        <w:r w:rsidRPr="00EB3815">
          <w:rPr>
            <w:rFonts w:ascii="Roboto" w:eastAsia="Times New Roman" w:hAnsi="Roboto" w:cs="Times New Roman"/>
            <w:color w:val="2496A4"/>
            <w:sz w:val="24"/>
            <w:szCs w:val="24"/>
            <w:u w:val="single"/>
            <w:bdr w:val="none" w:sz="0" w:space="0" w:color="auto" w:frame="1"/>
            <w:lang w:eastAsia="it-IT"/>
          </w:rPr>
          <w:t>www.csea.it</w:t>
        </w:r>
      </w:hyperlink>
      <w:r w:rsidRPr="00EB3815">
        <w:rPr>
          <w:rFonts w:ascii="Roboto" w:eastAsia="Times New Roman" w:hAnsi="Roboto" w:cs="Times New Roman"/>
          <w:color w:val="4D4D4D"/>
          <w:sz w:val="24"/>
          <w:szCs w:val="24"/>
          <w:lang w:eastAsia="it-IT"/>
        </w:rPr>
        <w:t>) cliccando sul riquadro PORTALI ESTERNI – ENERGIVORI – PORTALE ELETTRIVORI o tramite il link: </w:t>
      </w:r>
      <w:hyperlink r:id="rId7" w:tgtFrame="_blank" w:history="1">
        <w:r w:rsidRPr="00EB3815">
          <w:rPr>
            <w:rFonts w:ascii="Roboto" w:eastAsia="Times New Roman" w:hAnsi="Roboto" w:cs="Times New Roman"/>
            <w:color w:val="2496A4"/>
            <w:sz w:val="24"/>
            <w:szCs w:val="24"/>
            <w:u w:val="single"/>
            <w:bdr w:val="none" w:sz="0" w:space="0" w:color="auto" w:frame="1"/>
            <w:lang w:eastAsia="it-IT"/>
          </w:rPr>
          <w:t>energivori.csea.it</w:t>
        </w:r>
      </w:hyperlink>
    </w:p>
    <w:p w14:paraId="4894709E"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Le imprese che abbiano già effettuato la registrazione in occasione della formazione di uno o più Elenchi in qualità di imprese a forte consumo di energia elettrica o gas naturale possono accedere al Portale con la username e password già in loro possesso.</w:t>
      </w:r>
    </w:p>
    <w:p w14:paraId="01B12B8E"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Le altre imprese dovranno accreditarsi cliccando sul tasto “Nuova registrazione”.</w:t>
      </w:r>
    </w:p>
    <w:p w14:paraId="04E08503"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Dopo aver effettuato l’accesso, utilizzando la Partita IVA come username e la password fornita in fase di registrazione, l’impresa potrà compilare le dichiarazioni.</w:t>
      </w:r>
    </w:p>
    <w:p w14:paraId="345B6DD4"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Si precisa che tutte le dichiarazioni risulteranno rese ai sensi degli artt. 46 e 47 del Testo Unico delle disposizioni legislative e regolamentari in materia di documentazione amministrativa, adottato con il D.P.R. n. 445/2000, con la consapevolezza che, in caso di dichiarazioni mendaci e di falsità negli atti, si incorrerà nelle sanzioni penali previste dal successivo art. 76 e nella decadenza dai benefici, di cui all’art. 75.</w:t>
      </w:r>
    </w:p>
    <w:p w14:paraId="32912F28"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Al fine di compilare con precisione le dichiarazioni per l’annualità 2024, si invita a prendere visione della “</w:t>
      </w:r>
      <w:r w:rsidRPr="00EB3815">
        <w:rPr>
          <w:rFonts w:ascii="Roboto" w:eastAsia="Times New Roman" w:hAnsi="Roboto" w:cs="Times New Roman"/>
          <w:b/>
          <w:bCs/>
          <w:color w:val="4D4D4D"/>
          <w:sz w:val="24"/>
          <w:szCs w:val="24"/>
          <w:bdr w:val="none" w:sz="0" w:space="0" w:color="auto" w:frame="1"/>
          <w:lang w:eastAsia="it-IT"/>
        </w:rPr>
        <w:t>Guida alla compilazione delle dichiarazioni anno di competenza 2024” </w:t>
      </w:r>
      <w:r w:rsidRPr="00EB3815">
        <w:rPr>
          <w:rFonts w:ascii="Roboto" w:eastAsia="Times New Roman" w:hAnsi="Roboto" w:cs="Times New Roman"/>
          <w:color w:val="4D4D4D"/>
          <w:sz w:val="24"/>
          <w:szCs w:val="24"/>
          <w:lang w:eastAsia="it-IT"/>
        </w:rPr>
        <w:t>allegata alla presente circolare (Allegato 1).</w:t>
      </w:r>
    </w:p>
    <w:p w14:paraId="06CAD143"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b/>
          <w:bCs/>
          <w:color w:val="4D4D4D"/>
          <w:sz w:val="24"/>
          <w:szCs w:val="24"/>
          <w:bdr w:val="none" w:sz="0" w:space="0" w:color="auto" w:frame="1"/>
          <w:lang w:eastAsia="it-IT"/>
        </w:rPr>
        <w:t>DICHIARAZIONE PER L’ANNUALITA’ 2024</w:t>
      </w:r>
    </w:p>
    <w:p w14:paraId="2DCAAA41"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Per poter presentare la dichiarazione</w:t>
      </w:r>
      <w:r w:rsidRPr="00EB3815">
        <w:rPr>
          <w:rFonts w:ascii="Roboto" w:eastAsia="Times New Roman" w:hAnsi="Roboto" w:cs="Times New Roman"/>
          <w:b/>
          <w:bCs/>
          <w:color w:val="4D4D4D"/>
          <w:sz w:val="24"/>
          <w:szCs w:val="24"/>
          <w:bdr w:val="none" w:sz="0" w:space="0" w:color="auto" w:frame="1"/>
          <w:lang w:eastAsia="it-IT"/>
        </w:rPr>
        <w:t> per l’annualità 2024</w:t>
      </w:r>
      <w:r w:rsidRPr="00EB3815">
        <w:rPr>
          <w:rFonts w:ascii="Roboto" w:eastAsia="Times New Roman" w:hAnsi="Roboto" w:cs="Times New Roman"/>
          <w:color w:val="4D4D4D"/>
          <w:sz w:val="24"/>
          <w:szCs w:val="24"/>
          <w:lang w:eastAsia="it-IT"/>
        </w:rPr>
        <w:t>, è necessario accedere al Portale come illustrato al paragrafo precedente e, al fine di procedere alla compilazione della dichiarazione, selezionare il link “</w:t>
      </w:r>
      <w:r w:rsidRPr="00EB3815">
        <w:rPr>
          <w:rFonts w:ascii="Roboto" w:eastAsia="Times New Roman" w:hAnsi="Roboto" w:cs="Times New Roman"/>
          <w:i/>
          <w:iCs/>
          <w:color w:val="4D4D4D"/>
          <w:sz w:val="24"/>
          <w:szCs w:val="24"/>
          <w:bdr w:val="none" w:sz="0" w:space="0" w:color="auto" w:frame="1"/>
          <w:lang w:eastAsia="it-IT"/>
        </w:rPr>
        <w:t>IMPRESA COSTITUITA PRIMA DEL 2023 – Compila la dichiarazione relativa all’annualità di competenza 2024</w:t>
      </w:r>
      <w:r w:rsidRPr="00EB3815">
        <w:rPr>
          <w:rFonts w:ascii="Roboto" w:eastAsia="Times New Roman" w:hAnsi="Roboto" w:cs="Times New Roman"/>
          <w:color w:val="4D4D4D"/>
          <w:sz w:val="24"/>
          <w:szCs w:val="24"/>
          <w:lang w:eastAsia="it-IT"/>
        </w:rPr>
        <w:t>”.</w:t>
      </w:r>
    </w:p>
    <w:p w14:paraId="52F25691"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Il sistema telematico consente l’invio della dichiarazione alla CSEA solo alle imprese che soddisfano i requisiti dell’art. 3 del decreto-legge n. 131 del 29 settembre 2023; qualora infatti i dati inseriti non risultino conformi ai requisiti indicati dalla normativa di riferimento, non sarà possibile effettuare l’invio della dichiarazione.</w:t>
      </w:r>
    </w:p>
    <w:p w14:paraId="35EFDDCB"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Il sistema telematico, al termine del processo di invio della dichiarazione, trasmetterà a mezzo PEC una ricevuta che ne attesta la conclusione, ma non il buon esito dei controlli; sulle dichiarazioni pervenute, infatti, la CSEA effettuerà i controlli di legittimità e coerenza ai sensi dell’art. 3 del decreto-legge n. 131 del 29 settembre 2023 e delle successive disposizioni attuative di ARERA.</w:t>
      </w:r>
    </w:p>
    <w:p w14:paraId="4E1C8020"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lastRenderedPageBreak/>
        <w:t>La suddetta ricevuta sarà, comunque, sempre disponibile all’acquisizione tramite il Portale.</w:t>
      </w:r>
    </w:p>
    <w:p w14:paraId="366C1B20"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In relazione ai requisiti previsti dalla normativa di riferimento sopra citata, si rinvia al documento allegato alla presente circolare denominato </w:t>
      </w:r>
      <w:r w:rsidRPr="00EB3815">
        <w:rPr>
          <w:rFonts w:ascii="Roboto" w:eastAsia="Times New Roman" w:hAnsi="Roboto" w:cs="Times New Roman"/>
          <w:b/>
          <w:bCs/>
          <w:color w:val="4D4D4D"/>
          <w:sz w:val="24"/>
          <w:szCs w:val="24"/>
          <w:bdr w:val="none" w:sz="0" w:space="0" w:color="auto" w:frame="1"/>
          <w:lang w:eastAsia="it-IT"/>
        </w:rPr>
        <w:t xml:space="preserve">“Requisiti di accesso alle agevolazioni </w:t>
      </w:r>
      <w:proofErr w:type="spellStart"/>
      <w:r w:rsidRPr="00EB3815">
        <w:rPr>
          <w:rFonts w:ascii="Roboto" w:eastAsia="Times New Roman" w:hAnsi="Roboto" w:cs="Times New Roman"/>
          <w:b/>
          <w:bCs/>
          <w:color w:val="4D4D4D"/>
          <w:sz w:val="24"/>
          <w:szCs w:val="24"/>
          <w:bdr w:val="none" w:sz="0" w:space="0" w:color="auto" w:frame="1"/>
          <w:lang w:eastAsia="it-IT"/>
        </w:rPr>
        <w:t>elettrivori</w:t>
      </w:r>
      <w:proofErr w:type="spellEnd"/>
      <w:r w:rsidRPr="00EB3815">
        <w:rPr>
          <w:rFonts w:ascii="Roboto" w:eastAsia="Times New Roman" w:hAnsi="Roboto" w:cs="Times New Roman"/>
          <w:b/>
          <w:bCs/>
          <w:color w:val="4D4D4D"/>
          <w:sz w:val="24"/>
          <w:szCs w:val="24"/>
          <w:bdr w:val="none" w:sz="0" w:space="0" w:color="auto" w:frame="1"/>
          <w:lang w:eastAsia="it-IT"/>
        </w:rPr>
        <w:t xml:space="preserve"> anno di competenza 2024”</w:t>
      </w:r>
      <w:r w:rsidRPr="00EB3815">
        <w:rPr>
          <w:rFonts w:ascii="Roboto" w:eastAsia="Times New Roman" w:hAnsi="Roboto" w:cs="Times New Roman"/>
          <w:color w:val="4D4D4D"/>
          <w:sz w:val="24"/>
          <w:szCs w:val="24"/>
          <w:lang w:eastAsia="it-IT"/>
        </w:rPr>
        <w:t> (Allegato 2).</w:t>
      </w:r>
    </w:p>
    <w:p w14:paraId="6C5969BF"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Le imprese potranno accedere al sistema telematico per le citate dichiarazioni </w:t>
      </w:r>
      <w:r w:rsidRPr="00EB3815">
        <w:rPr>
          <w:rFonts w:ascii="Roboto" w:eastAsia="Times New Roman" w:hAnsi="Roboto" w:cs="Times New Roman"/>
          <w:b/>
          <w:bCs/>
          <w:color w:val="4D4D4D"/>
          <w:sz w:val="24"/>
          <w:szCs w:val="24"/>
          <w:bdr w:val="none" w:sz="0" w:space="0" w:color="auto" w:frame="1"/>
          <w:lang w:eastAsia="it-IT"/>
        </w:rPr>
        <w:t>dal giorno 01/12/2023 fino alle ore 23:59 del 22/12/2023.</w:t>
      </w:r>
    </w:p>
    <w:p w14:paraId="3D3ABD65"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Decorso il suddetto termine, l’iscrizione all’elenco delle imprese a forte consumo di energia per l’annualità di competenza 2024 sarà possibile solo ed esclusivamente in occasione della sessione suppletiva, secondo modalità e tempistiche che saranno definite da ARERA con successivi provvedimenti.</w:t>
      </w:r>
    </w:p>
    <w:p w14:paraId="1180B305"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In forza dell’art. 71 del richiamato D.P.R. n. 445/2000, sulle dichiarazioni rese ai sensi degli artt. 46 e 47, la Cassa effettuerà idonei controlli a campione sulle dichiarazioni sostitutive e sulle eventuali rettifiche pervenute dalle imprese.</w:t>
      </w:r>
    </w:p>
    <w:p w14:paraId="11608CCD"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La Cassa pubblicherà sul proprio sito internet l’elenco delle imprese a forte consumo di energia elettrica per l’anno di competenza 2024, distinte per classi di agevolazione ai sensi del precedente decreto, secondo le tempistiche che saranno rese note da ARERA con successivi provvedimenti.</w:t>
      </w:r>
    </w:p>
    <w:p w14:paraId="400660FA"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b/>
          <w:bCs/>
          <w:color w:val="4D4D4D"/>
          <w:sz w:val="24"/>
          <w:szCs w:val="24"/>
          <w:bdr w:val="none" w:sz="0" w:space="0" w:color="auto" w:frame="1"/>
          <w:lang w:eastAsia="it-IT"/>
        </w:rPr>
        <w:t>DETTAGLI DI CARATTERE OPERATIVO</w:t>
      </w:r>
    </w:p>
    <w:p w14:paraId="4FC31BC1"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Per tutti i dettagli di carattere operativo, si rinvia al manuale utente disponibile sul Portale nella sezione energivori (cfr. Manuale utente 2024 e successivi) ed accessibile dal link che si trova al di sotto del box per le credenziali di accesso, nonché alla Guida alla corretta compilazione delle dichiarazioni allegata alla presente circolare.</w:t>
      </w:r>
    </w:p>
    <w:p w14:paraId="0B0C9927"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 xml:space="preserve">Per quanto non riportato nella presente circolare, si rinvia alle deliberazioni dell’ARERA in materia, agli avvisi pubblicati sul Portale </w:t>
      </w:r>
      <w:proofErr w:type="spellStart"/>
      <w:r w:rsidRPr="00EB3815">
        <w:rPr>
          <w:rFonts w:ascii="Roboto" w:eastAsia="Times New Roman" w:hAnsi="Roboto" w:cs="Times New Roman"/>
          <w:color w:val="4D4D4D"/>
          <w:sz w:val="24"/>
          <w:szCs w:val="24"/>
          <w:lang w:eastAsia="it-IT"/>
        </w:rPr>
        <w:t>elettrivori</w:t>
      </w:r>
      <w:proofErr w:type="spellEnd"/>
      <w:r w:rsidRPr="00EB3815">
        <w:rPr>
          <w:rFonts w:ascii="Roboto" w:eastAsia="Times New Roman" w:hAnsi="Roboto" w:cs="Times New Roman"/>
          <w:color w:val="4D4D4D"/>
          <w:sz w:val="24"/>
          <w:szCs w:val="24"/>
          <w:lang w:eastAsia="it-IT"/>
        </w:rPr>
        <w:t>, nonché alle FAQ e al Vademecum.</w:t>
      </w:r>
    </w:p>
    <w:p w14:paraId="7D5C1F11" w14:textId="77777777" w:rsidR="00EB3815" w:rsidRPr="00EB3815" w:rsidRDefault="00EB3815" w:rsidP="00EB3815">
      <w:pPr>
        <w:widowControl/>
        <w:shd w:val="clear" w:color="auto" w:fill="FFFFFF"/>
        <w:autoSpaceDE/>
        <w:autoSpaceDN/>
        <w:spacing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Eventuali richieste di informazioni di carattere generale potranno essere formulate al numero </w:t>
      </w:r>
      <w:r w:rsidRPr="00EB3815">
        <w:rPr>
          <w:rFonts w:ascii="Roboto" w:eastAsia="Times New Roman" w:hAnsi="Roboto" w:cs="Times New Roman"/>
          <w:b/>
          <w:bCs/>
          <w:color w:val="4D4D4D"/>
          <w:sz w:val="24"/>
          <w:szCs w:val="24"/>
          <w:bdr w:val="none" w:sz="0" w:space="0" w:color="auto" w:frame="1"/>
          <w:lang w:eastAsia="it-IT"/>
        </w:rPr>
        <w:t>+39 06 32101397</w:t>
      </w:r>
      <w:r w:rsidRPr="00EB3815">
        <w:rPr>
          <w:rFonts w:ascii="Roboto" w:eastAsia="Times New Roman" w:hAnsi="Roboto" w:cs="Times New Roman"/>
          <w:color w:val="4D4D4D"/>
          <w:sz w:val="24"/>
          <w:szCs w:val="24"/>
          <w:lang w:eastAsia="it-IT"/>
        </w:rPr>
        <w:t>.</w:t>
      </w:r>
    </w:p>
    <w:p w14:paraId="5220CE54" w14:textId="77777777" w:rsidR="00EB3815" w:rsidRPr="00EB3815" w:rsidRDefault="00EB3815" w:rsidP="00EB3815">
      <w:pPr>
        <w:widowControl/>
        <w:shd w:val="clear" w:color="auto" w:fill="FFFFFF"/>
        <w:autoSpaceDE/>
        <w:autoSpaceDN/>
        <w:spacing w:after="375" w:afterAutospacing="0"/>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Le richieste relative agli argomenti specifici di seguito indicati possono essere inviate ai seguenti indirizzi:</w:t>
      </w:r>
    </w:p>
    <w:p w14:paraId="4F984FCC" w14:textId="77777777" w:rsidR="00EB3815" w:rsidRPr="00EB3815" w:rsidRDefault="00EB3815" w:rsidP="00EB3815">
      <w:pPr>
        <w:widowControl/>
        <w:numPr>
          <w:ilvl w:val="0"/>
          <w:numId w:val="1"/>
        </w:numPr>
        <w:shd w:val="clear" w:color="auto" w:fill="FFFFFF"/>
        <w:autoSpaceDE/>
        <w:autoSpaceDN/>
        <w:spacing w:afterAutospacing="0"/>
        <w:ind w:left="1035"/>
        <w:rPr>
          <w:rFonts w:ascii="Roboto" w:eastAsia="Times New Roman" w:hAnsi="Roboto" w:cs="Times New Roman"/>
          <w:color w:val="4D4D4D"/>
          <w:sz w:val="24"/>
          <w:szCs w:val="24"/>
          <w:lang w:eastAsia="it-IT"/>
        </w:rPr>
      </w:pPr>
      <w:hyperlink r:id="rId8" w:tgtFrame="_blank" w:history="1">
        <w:r w:rsidRPr="00EB3815">
          <w:rPr>
            <w:rFonts w:ascii="Roboto" w:eastAsia="Times New Roman" w:hAnsi="Roboto" w:cs="Times New Roman"/>
            <w:color w:val="2496A4"/>
            <w:sz w:val="24"/>
            <w:szCs w:val="24"/>
            <w:u w:val="single"/>
            <w:bdr w:val="none" w:sz="0" w:space="0" w:color="auto" w:frame="1"/>
            <w:lang w:eastAsia="it-IT"/>
          </w:rPr>
          <w:t>energivori@pec.csea.it</w:t>
        </w:r>
      </w:hyperlink>
      <w:r w:rsidRPr="00EB3815">
        <w:rPr>
          <w:rFonts w:ascii="Roboto" w:eastAsia="Times New Roman" w:hAnsi="Roboto" w:cs="Times New Roman"/>
          <w:color w:val="4D4D4D"/>
          <w:sz w:val="24"/>
          <w:szCs w:val="24"/>
          <w:lang w:eastAsia="it-IT"/>
        </w:rPr>
        <w:t> per l’applicazione tecnica della normativa, operazioni societarie e aspetti di carattere legale;</w:t>
      </w:r>
    </w:p>
    <w:p w14:paraId="213A1270" w14:textId="77777777" w:rsidR="00EB3815" w:rsidRPr="00EB3815" w:rsidRDefault="00EB3815" w:rsidP="00EB3815">
      <w:pPr>
        <w:widowControl/>
        <w:numPr>
          <w:ilvl w:val="0"/>
          <w:numId w:val="1"/>
        </w:numPr>
        <w:shd w:val="clear" w:color="auto" w:fill="FFFFFF"/>
        <w:autoSpaceDE/>
        <w:autoSpaceDN/>
        <w:spacing w:afterAutospacing="0"/>
        <w:ind w:left="1035"/>
        <w:rPr>
          <w:rFonts w:ascii="Roboto" w:eastAsia="Times New Roman" w:hAnsi="Roboto" w:cs="Times New Roman"/>
          <w:color w:val="4D4D4D"/>
          <w:sz w:val="24"/>
          <w:szCs w:val="24"/>
          <w:lang w:eastAsia="it-IT"/>
        </w:rPr>
      </w:pPr>
      <w:hyperlink r:id="rId9" w:tgtFrame="_blank" w:history="1">
        <w:r w:rsidRPr="00EB3815">
          <w:rPr>
            <w:rFonts w:ascii="Roboto" w:eastAsia="Times New Roman" w:hAnsi="Roboto" w:cs="Times New Roman"/>
            <w:color w:val="2496A4"/>
            <w:sz w:val="24"/>
            <w:szCs w:val="24"/>
            <w:u w:val="single"/>
            <w:bdr w:val="none" w:sz="0" w:space="0" w:color="auto" w:frame="1"/>
            <w:lang w:eastAsia="it-IT"/>
          </w:rPr>
          <w:t>informatici@csea.it</w:t>
        </w:r>
      </w:hyperlink>
      <w:r w:rsidRPr="00EB3815">
        <w:rPr>
          <w:rFonts w:ascii="Roboto" w:eastAsia="Times New Roman" w:hAnsi="Roboto" w:cs="Times New Roman"/>
          <w:color w:val="4D4D4D"/>
          <w:sz w:val="24"/>
          <w:szCs w:val="24"/>
          <w:lang w:eastAsia="it-IT"/>
        </w:rPr>
        <w:t> per aspetti di carattere informatico (es. difficoltà di accesso da IP esteri);</w:t>
      </w:r>
    </w:p>
    <w:p w14:paraId="4BE2178C" w14:textId="77777777" w:rsidR="00EB3815" w:rsidRPr="00EB3815" w:rsidRDefault="00EB3815" w:rsidP="00EB3815">
      <w:pPr>
        <w:widowControl/>
        <w:numPr>
          <w:ilvl w:val="0"/>
          <w:numId w:val="1"/>
        </w:numPr>
        <w:shd w:val="clear" w:color="auto" w:fill="FFFFFF"/>
        <w:autoSpaceDE/>
        <w:autoSpaceDN/>
        <w:spacing w:afterAutospacing="0"/>
        <w:ind w:left="1035"/>
        <w:rPr>
          <w:rFonts w:ascii="Roboto" w:eastAsia="Times New Roman" w:hAnsi="Roboto" w:cs="Times New Roman"/>
          <w:color w:val="4D4D4D"/>
          <w:sz w:val="24"/>
          <w:szCs w:val="24"/>
          <w:lang w:eastAsia="it-IT"/>
        </w:rPr>
      </w:pPr>
      <w:hyperlink r:id="rId10" w:tgtFrame="_blank" w:history="1">
        <w:r w:rsidRPr="00EB3815">
          <w:rPr>
            <w:rFonts w:ascii="Roboto" w:eastAsia="Times New Roman" w:hAnsi="Roboto" w:cs="Times New Roman"/>
            <w:color w:val="2496A4"/>
            <w:sz w:val="24"/>
            <w:szCs w:val="24"/>
            <w:u w:val="single"/>
            <w:bdr w:val="none" w:sz="0" w:space="0" w:color="auto" w:frame="1"/>
            <w:lang w:eastAsia="it-IT"/>
          </w:rPr>
          <w:t>antimafia@pec.csea.it</w:t>
        </w:r>
      </w:hyperlink>
      <w:r w:rsidRPr="00EB3815">
        <w:rPr>
          <w:rFonts w:ascii="Roboto" w:eastAsia="Times New Roman" w:hAnsi="Roboto" w:cs="Times New Roman"/>
          <w:color w:val="4D4D4D"/>
          <w:sz w:val="24"/>
          <w:szCs w:val="24"/>
          <w:lang w:eastAsia="it-IT"/>
        </w:rPr>
        <w:t> per aspetti legati all’antimafia;</w:t>
      </w:r>
    </w:p>
    <w:p w14:paraId="3BAE2CED" w14:textId="77777777" w:rsidR="00EB3815" w:rsidRPr="00EB3815" w:rsidRDefault="00EB3815" w:rsidP="00EB3815">
      <w:pPr>
        <w:widowControl/>
        <w:numPr>
          <w:ilvl w:val="0"/>
          <w:numId w:val="1"/>
        </w:numPr>
        <w:shd w:val="clear" w:color="auto" w:fill="FFFFFF"/>
        <w:autoSpaceDE/>
        <w:autoSpaceDN/>
        <w:spacing w:afterAutospacing="0"/>
        <w:ind w:left="1035"/>
        <w:rPr>
          <w:rFonts w:ascii="Roboto" w:eastAsia="Times New Roman" w:hAnsi="Roboto" w:cs="Times New Roman"/>
          <w:color w:val="4D4D4D"/>
          <w:sz w:val="24"/>
          <w:szCs w:val="24"/>
          <w:lang w:eastAsia="it-IT"/>
        </w:rPr>
      </w:pPr>
      <w:hyperlink r:id="rId11" w:tgtFrame="_blank" w:history="1">
        <w:r w:rsidRPr="00EB3815">
          <w:rPr>
            <w:rFonts w:ascii="Roboto" w:eastAsia="Times New Roman" w:hAnsi="Roboto" w:cs="Times New Roman"/>
            <w:color w:val="2496A4"/>
            <w:sz w:val="24"/>
            <w:szCs w:val="24"/>
            <w:u w:val="single"/>
            <w:bdr w:val="none" w:sz="0" w:space="0" w:color="auto" w:frame="1"/>
            <w:lang w:eastAsia="it-IT"/>
          </w:rPr>
          <w:t>amministrazione@pec.csea.it</w:t>
        </w:r>
      </w:hyperlink>
      <w:r w:rsidRPr="00EB3815">
        <w:rPr>
          <w:rFonts w:ascii="Roboto" w:eastAsia="Times New Roman" w:hAnsi="Roboto" w:cs="Times New Roman"/>
          <w:color w:val="4D4D4D"/>
          <w:sz w:val="24"/>
          <w:szCs w:val="24"/>
          <w:lang w:eastAsia="it-IT"/>
        </w:rPr>
        <w:t> per aspetti amministrativi/contabili.</w:t>
      </w:r>
    </w:p>
    <w:p w14:paraId="23FE5C7C" w14:textId="77777777" w:rsidR="00EB3815" w:rsidRPr="00EB3815" w:rsidRDefault="00EB3815" w:rsidP="00EB3815">
      <w:pPr>
        <w:widowControl/>
        <w:shd w:val="clear" w:color="auto" w:fill="FFFFFF"/>
        <w:autoSpaceDE/>
        <w:autoSpaceDN/>
        <w:spacing w:after="375" w:afterAutospacing="0"/>
        <w:jc w:val="center"/>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Il Direttore generale</w:t>
      </w:r>
    </w:p>
    <w:p w14:paraId="702ED976" w14:textId="77777777" w:rsidR="00EB3815" w:rsidRPr="00EB3815" w:rsidRDefault="00EB3815" w:rsidP="00EB3815">
      <w:pPr>
        <w:widowControl/>
        <w:shd w:val="clear" w:color="auto" w:fill="FFFFFF"/>
        <w:autoSpaceDE/>
        <w:autoSpaceDN/>
        <w:spacing w:after="375" w:afterAutospacing="0"/>
        <w:jc w:val="center"/>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Bernardo Pizzetti</w:t>
      </w:r>
    </w:p>
    <w:p w14:paraId="2B82811B" w14:textId="44DC9071" w:rsidR="00886B3C" w:rsidRPr="00EB3815" w:rsidRDefault="00EB3815" w:rsidP="00EB3815">
      <w:pPr>
        <w:widowControl/>
        <w:shd w:val="clear" w:color="auto" w:fill="FFFFFF"/>
        <w:autoSpaceDE/>
        <w:autoSpaceDN/>
        <w:spacing w:after="375" w:afterAutospacing="0"/>
        <w:jc w:val="left"/>
        <w:rPr>
          <w:rFonts w:ascii="Roboto" w:eastAsia="Times New Roman" w:hAnsi="Roboto" w:cs="Times New Roman"/>
          <w:color w:val="4D4D4D"/>
          <w:sz w:val="24"/>
          <w:szCs w:val="24"/>
          <w:lang w:eastAsia="it-IT"/>
        </w:rPr>
      </w:pPr>
      <w:r w:rsidRPr="00EB3815">
        <w:rPr>
          <w:rFonts w:ascii="Roboto" w:eastAsia="Times New Roman" w:hAnsi="Roboto" w:cs="Times New Roman"/>
          <w:color w:val="4D4D4D"/>
          <w:sz w:val="24"/>
          <w:szCs w:val="24"/>
          <w:lang w:eastAsia="it-IT"/>
        </w:rPr>
        <w:t> </w:t>
      </w:r>
    </w:p>
    <w:sectPr w:rsidR="00886B3C" w:rsidRPr="00EB381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roman"/>
    <w:pitch w:val="default"/>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BE2274"/>
    <w:multiLevelType w:val="multilevel"/>
    <w:tmpl w:val="E7122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56910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815"/>
    <w:rsid w:val="00886B3C"/>
    <w:rsid w:val="00AA138A"/>
    <w:rsid w:val="00EB3815"/>
    <w:rsid w:val="00F037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A28D1"/>
  <w15:chartTrackingRefBased/>
  <w15:docId w15:val="{B8D6DA62-EE1C-4BA7-BD8E-D8F97D7A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00" w:afterAutospacing="1"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autoSpaceDE w:val="0"/>
      <w:autoSpaceDN w:val="0"/>
      <w:spacing w:after="0" w:line="240"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EB3815"/>
    <w:pPr>
      <w:widowControl/>
      <w:autoSpaceDE/>
      <w:autoSpaceDN/>
      <w:spacing w:before="100" w:beforeAutospacing="1" w:after="100"/>
      <w:jc w:val="left"/>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EB3815"/>
    <w:rPr>
      <w:b/>
      <w:bCs/>
    </w:rPr>
  </w:style>
  <w:style w:type="character" w:styleId="Collegamentoipertestuale">
    <w:name w:val="Hyperlink"/>
    <w:basedOn w:val="Carpredefinitoparagrafo"/>
    <w:uiPriority w:val="99"/>
    <w:semiHidden/>
    <w:unhideWhenUsed/>
    <w:rsid w:val="00EB3815"/>
    <w:rPr>
      <w:color w:val="0000FF"/>
      <w:u w:val="single"/>
    </w:rPr>
  </w:style>
  <w:style w:type="character" w:styleId="Enfasicorsivo">
    <w:name w:val="Emphasis"/>
    <w:basedOn w:val="Carpredefinitoparagrafo"/>
    <w:uiPriority w:val="20"/>
    <w:qFormat/>
    <w:rsid w:val="00EB38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60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ivori@pec.csea.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ergivori.cse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sea.it/" TargetMode="External"/><Relationship Id="rId11" Type="http://schemas.openxmlformats.org/officeDocument/2006/relationships/hyperlink" Target="mailto:amministrazione@pec.csea.it" TargetMode="External"/><Relationship Id="rId5" Type="http://schemas.openxmlformats.org/officeDocument/2006/relationships/hyperlink" Target="https://www.normattiva.it/uri-res/N2Ls?urn:nir:stato:decreto.legge:2023-09-29;131" TargetMode="External"/><Relationship Id="rId10" Type="http://schemas.openxmlformats.org/officeDocument/2006/relationships/hyperlink" Target="mailto:antimafia@pec.csea.it" TargetMode="External"/><Relationship Id="rId4" Type="http://schemas.openxmlformats.org/officeDocument/2006/relationships/webSettings" Target="webSettings.xml"/><Relationship Id="rId9" Type="http://schemas.openxmlformats.org/officeDocument/2006/relationships/hyperlink" Target="mailto:sistemi.informatici@cse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911</Words>
  <Characters>5195</Characters>
  <Application>Microsoft Office Word</Application>
  <DocSecurity>0</DocSecurity>
  <Lines>43</Lines>
  <Paragraphs>12</Paragraphs>
  <ScaleCrop>false</ScaleCrop>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Bruni Elena</dc:creator>
  <cp:keywords/>
  <dc:description/>
  <cp:lastModifiedBy>Bruni Elena</cp:lastModifiedBy>
  <cp:revision>1</cp:revision>
  <dcterms:created xsi:type="dcterms:W3CDTF">2023-11-27T11:52:00Z</dcterms:created>
  <dcterms:modified xsi:type="dcterms:W3CDTF">2023-11-27T11:53:00Z</dcterms:modified>
</cp:coreProperties>
</file>